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8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20" w:lineRule="exact"/>
              <w:ind w:right="0"/>
              <w:jc w:val="both"/>
              <w:textAlignment w:val="auto"/>
              <w:outlineLvl w:val="9"/>
              <w:rPr>
                <w:rFonts w:hint="default" w:ascii="仿宋_GB2312" w:hAnsi="方正仿宋_GBK" w:eastAsia="仿宋_GB2312" w:cs="方正仿宋_GBK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方正仿宋_GBK" w:eastAsia="仿宋_GB2312" w:cs="方正仿宋_GBK"/>
                <w:kern w:val="2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微软简标宋" w:hAnsi="微软简标宋" w:eastAsia="微软简标宋" w:cs="Times New Roman"/>
                <w:bCs/>
                <w:color w:val="000000"/>
                <w:sz w:val="11"/>
                <w:szCs w:val="11"/>
                <w:lang w:bidi="ar"/>
              </w:rPr>
            </w:pPr>
            <w:r>
              <w:rPr>
                <w:rFonts w:hint="default"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  <w:t>肇庆高新区</w:t>
            </w:r>
            <w:r>
              <w:rPr>
                <w:rFonts w:hint="eastAsia" w:ascii="微软简标宋" w:hAnsi="微软简标宋" w:eastAsia="微软简标宋" w:cs="Times New Roman"/>
                <w:bCs/>
                <w:color w:val="000000"/>
                <w:sz w:val="40"/>
                <w:szCs w:val="40"/>
                <w:lang w:val="en-US" w:eastAsia="zh-CN" w:bidi="ar"/>
              </w:rPr>
              <w:t>纪工委</w:t>
            </w:r>
            <w:r>
              <w:rPr>
                <w:rFonts w:hint="default"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微软简标宋" w:hAnsi="微软简标宋" w:eastAsia="微软简标宋" w:cs="Times New Roman"/>
                <w:bCs/>
                <w:color w:val="000000"/>
                <w:sz w:val="40"/>
                <w:szCs w:val="40"/>
                <w:lang w:val="en-US" w:eastAsia="zh-CN" w:bidi="ar"/>
              </w:rPr>
              <w:t>3</w:t>
            </w:r>
            <w:r>
              <w:rPr>
                <w:rFonts w:hint="default" w:ascii="微软简标宋" w:hAnsi="微软简标宋" w:eastAsia="微软简标宋" w:cs="Times New Roman"/>
                <w:bCs/>
                <w:color w:val="000000"/>
                <w:sz w:val="40"/>
                <w:szCs w:val="40"/>
                <w:lang w:bidi="ar"/>
              </w:rPr>
              <w:t>年公开招聘政府雇员岗位表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right="0" w:rightChars="0"/>
        <w:jc w:val="left"/>
        <w:rPr>
          <w:rFonts w:ascii="Times New Roman" w:hAnsi="Times New Roman" w:eastAsia="宋体" w:cs="Times New Roman"/>
          <w:vanish/>
          <w:color w:val="000000"/>
          <w:kern w:val="0"/>
          <w:sz w:val="24"/>
        </w:rPr>
      </w:pPr>
    </w:p>
    <w:tbl>
      <w:tblPr>
        <w:tblStyle w:val="4"/>
        <w:tblW w:w="137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29"/>
        <w:gridCol w:w="2111"/>
        <w:gridCol w:w="840"/>
        <w:gridCol w:w="1170"/>
        <w:gridCol w:w="900"/>
        <w:gridCol w:w="3803"/>
        <w:gridCol w:w="2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rightChars="0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肇庆高新区纪工委综合部门工作人员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初级雇员及以上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2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在机关综合部门从事辅助性等工作。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本科（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非在职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学士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及以上</w:t>
            </w:r>
          </w:p>
        </w:tc>
        <w:tc>
          <w:tcPr>
            <w:tcW w:w="3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法学（A0301）、汉语言文字学（A050103)、财政学〔（含：税收学）（A020203）〕、会计学（A120201）、公安学（A030601）、法学（B030101）、汉语言文学（B050101）、汉语言（B050102）、财政学（B020201）、审计学（B120207）、经济犯罪侦查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B030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）、侦查学（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B030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）、会计学（B120203）、审计学（B120207）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年龄35周岁以下，具有硕士研究生学历学位（非在职）年龄可放宽至40周岁。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9320B"/>
    <w:rsid w:val="1F0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高新区其他政府机关单位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2023-11-27T07:54:00Z</dcterms:created>
  <dc:creator>刘晓珍</dc:creator>
  <cp:lastModifiedBy>刘晓珍</cp:lastModifiedBy>
  <dcterms:modified xsi:type="dcterms:W3CDTF">2023-11-27T07:55:58Z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